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Моргунов Р.Н. обратился в суд с заявлением о прекращении производства по делу в связи с недостаточностью имущества должника для покрытия судебных расходов по делу о банкротстве. Определением Арбитражного суда Нижегородской области от 09.10.2020, оставленным без изменения постановлениями Первого арбитражного апелляционного суда от 25.11.2020 и Арбитражного суда Волго-Вятского округа от 11.02.2021,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заявлении, суды, руководствуясь статьями 20.3, 57, 59, 124 Федерального закона от 26.10.2002 № 127-ФЗ «О несостоятельности (банкротстве)», признали преждевременным и нецелесообразным прекращение конкурсного производства при наличии у должника имущества и недоказанности невозможности погашения расходов по делу банкротстве за счёт поступления вырученных от его реализации денежных средств.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публичным акционерным обществом «Металлист» Моргунову Роману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