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Таёкина Марина Тарасовна обратилась в суд с заявлением о признании недействительными сделками платежей на общую сумму 11 000 000 рублей, произведённых 28.06.2017, 30.06.2017 и 06.07.2017 должником в пользу Федотовой А.Ф., применении последствий их недействительности. Определением Арбитражного суда города Москвы от 04.06.2020 в удовлетворении заявления отказано. Постановлением Девятого арбитражного апелляционного суда от 23.09.2020, оставленным без изменения постановлением Арбитражного суда Московского округа от 15.12.2020, вышеуказанное определение отменено; требования конкурсного управляющего удовлетворены.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повторно разрешая спор, апелляционный суд, руководствуясь статьями 10, 168 Гражданского кодекса Российской Федерации, пунктом 2 статьи 61.2 Федерального закона от 26.10.2002 № 127-ФЗ «О несостоятельности (банкротстве)», пунктами 5, 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того, что совершение сделок по досрочному изъятию участником должника ранее предоставленного финансирования в условиях имущественного кризиса и отсутствия чистой прибыли свидетельствует о злоупотреблении правом и направленности на причинение вреда независимым кредиторам, в связи с чем признал их недействительными.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Федотовой Анне Рудольфовне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