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Белгородской области от 21.08.2020, оставленным без изменения постановлением Девятнадцатого арбитражного апелляционного суда от 14.10.2020, производство по делу прекращено. Постановлением Арбитражного суда Центрального округа от 02.02.2021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Признав, что общество не является лицом, которому в соответствии с частью 1 статьи 30.1 Кодекса Российской Федерации об административных правонарушениях предоставлено право на обжалование постановления о прекращении производства по делу об административном правонарушении, суды прекратили производство по делу.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Обжалуя судебные акты в Верховный Суд Российской Федерации, общество не приводит доводы о том, чем оспариваемое постановление о прекращении производства по делу об административном правонарушении нарушает его права и законные интересы. 3 При этом процессуальный статус потерпевшего по делу об административном правонарушении определяется фактом причинения вреда этому лицу в результате виновных действий совершенным административным правонарушением. Доказательств, свидетельствующих о причинении обществу имущественного ущерба или иного вреда, позволяющие установить факт наличия у него статуса потерпевшего, которым его незаконно не наделили при производстве по делу об административном правонарушении, не представлено, судами таких обстоятельств не установлено, доводов об этом в жалобе не приведено. С учетом изложенного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