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25.05.2020, оставленным без изменения постановлением Девятого арбитражного апелляционного суда от 02.10.2020, взыскано 1 216 200 рублей реального ущерба, 15 000 рублей расходов на оценку и 15 000 рублей расходов на юридические услуги. Арбитражный суд Московского округа постановлением от 15.12.2020 решение от 25.05.2020 и постановление Девятого арбитражного апелляционного суда от 02.10.2020 оставил без изменения. В кассационной жалобе общество «Тимер» просит об отмене судебных актов, ссылаясь на возложение ответственности за вред на ненадлежащее лицо и неподтвержденность размера убытков.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Возложение на общество «Тимер» как собственника транспортного средства обязанности возместить причиненный при его использовании вред основано на статьях 15, 223,1064, 1079 Гражданского кодекса Российской Федерации. Обстоятельства, связанные с размером требований,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«Тимер»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