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24.01.2020, оставленным без изменения постановлением Тринадцатого арбитражного апелляционного суда от 29.06.2020, первоначальный иск удовлетворен, во встречном иске отказано. Арбитражный суд Северо-Западного округа постановлением от 15.12.2020 решение от 24.01.2020 и постановление Тринадцатого арбитражного апелляционного суда от 29.06.2020 оставил без изменения. В кассационной жалобе завод просит об отмене судебных актов, ссылаясь на неверное толкование условий договора поставки и нарушение прав головного исполнителя.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ответственности, установлены судами и не подлежат пересмотру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«Судостроительный завод «Северная верфь»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