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01.06.2020, оставленным без изменения постановлением Девятого арбитражного апелляционного суда от 14.09.2020, требования удовлетворены. Постановлением Арбитражного суда Московского округа от 21.12.2020 указанные судебные акты оставлены без изменения. 2 В кассационной жалобе, поступившей в Верховный Суд Российской Федерации, фонд просит отменить состоявшиеся по делу судебные акты, считая их незаконными и необоснованными.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руководствуясь положениями Федерального закона от 29.11.2010 № 326-ФЗ «Об обязательном медицинском страховании в Российской Федерации», Правил обязательного медицинского страхования, утвержденных приказом Минздравсоцразвития России от 28.02.2011 № 158н, суды удовлетворили требования, признав доказанным факт оказания обществом услуг и нарушение фондом обязательств по их оплате. Доводы кассационной жалобы были предметом исследования судов и получили исчерпывающую правовую оценку применительно к установленным обстоятельствам, свидетельствующим об отсутствии в рассматриваемом случае оснований для изменения фондом тарифа в одностороннем порядке, а также представленным доказательствам, не согласиться с которой, исходя из доводов жалобы, оснований не имеется.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