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28.05.2020, оставленным без изменения постановлением Девятого арбитражного апелляционного суда от 31.08.2020, иск удовлетворен частично, с ответчика в пользу истца взыскана задолженность в размере 2 092 232,04 рублей, в остальной части в иске отказано. Постановлением Арбитражного суда Московского округа от 14.12.2020 указанные судебные акты оставлены без изменения. Ответчик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309 , 310 , 330 , 711 , 763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частично удовлетворили иск, признав доказанным, что результат спорных работ соответствует требованиям государственного контракта и имеет потребительскую ценность для заказчика. Доводы жалобы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ФГУП "Главное военно-строительное управление №6" (подробнее) Ответчики: Министерство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