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03.07.2020, оставленным без изменения постановлением Десятого арбитражного апелляционного суда от 26.10.2020, взыскано 8 775 рублей неустойки и 3 773 445 рублей штрафа. Арбитражный суд Московского округа постановлением от 13.01.2021 решение от 03.07.2020 и постановление Десятого арбитражного апелляционного суда от 26.10.2020 оставил без изменения. В кассационной жалобе общество «Еврологистик» просит об отмене судебных актов, ссылаясь на неверный расчет штрафа, нерассмотрение апелляционным судом заявления о фальсификации доказательства досудебного порядка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связанные с размером требований, оценкой доказательств и досудебным порядком урегулирования спора,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