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Татарстан от 10.09.2020, оставленным без изменения постановлением Одиннадцатого арбитражного апелляционного суда от 25.11.2020 и постановлением Арбитражного суда Поволжского округа от 21.01.2021, исковое заявление возвращено на основании пункта 5 части 1 статьи 129 Арбитражного процессуального кодекса Российской Федерации в связи с несоблюдением истцом досудебного порядка урегулирования спора. В кассационной жалобе общество «ЛК Газинвестгрупп» просит о пересмотре судебных актов, ссылаясь на отсутствие законного условия о необходимости направления заявления страховщику до 01.06.2019.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финансовый уполномоченный отказал в принятии обращения к рассмотрению в связи с нарушением заявителем процедуры его подачи. Отсутствие решения уполномоченного по существу обращения правомерно оценено судами как несоблюдение досудебного порядка урегулирования спора.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«ЛК Газинвестгрупп»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