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в порядке упрощенного производства решением Арбитражного суда города Москвы от 26.04.2019 иск удовлетворен. Девятым арбитражным апелляционным судом дело рассмотрено по общим правилам искового производства и постановлением от 12.03.2020 решение отменено: в иске отказано. Постановлением Арбитражного суда Московского округа от 13.07.2020, постановление апелляционного суда отменено, дело направлено на новое рассмотрение. Принятым при новом рассмотрении дела постановлением Девятого арбитражного апелляционного суда от 03.09.2020, оставленным без изменения постановлением Арбитражного суда Московского округа от 22.12.2020, решение отменено: иск удовлетворен. 2 В кассационной жалобе общество «Пауэр Лайн» просит о пересмотре судебных актов, ссылаясь на принятие ненадлежащих доказательств качества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Факт поставки ответчиком в рамках договора от 17.10.2017 № 31705550164-17 некачественного товара и связанное с ним право истца на применение заявленных последствий установлены судами, в связи с чем иск удовлетворен в соответствии со статьями 330, 395, 475 Гражданского кодекса Российской Федерации. Вопросы доказывания и оценки доказательств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«Пауэр Лайн»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