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16.09.2020, оставленным без изменения постановлением Одиннадцатого арбитражного апелляционного суда от 23.11.2020 и постановлением Арбитражного суда Поволжского округа от 26.01.2021, исковое заявление возвращено на основании пункта 5 части 1 статьи 129 Арбитражного процессуального кодекса Российской Федерации в связи с несоблюдением истцом досудебного порядка урегулирования спора. В кассационной жалобе общество «ЛК Газинвестгрупп» просит о пересмотре судебных актов, ссылаясь на дающее право на обращение в суд несогласие с решением финансового уполномоченного.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финансовый уполномоченный отказал в принятии обращения к рассмотрению в связи с нарушением заявителем процедуры его подачи. То есть решение, несогласие с которым истец выражает, отсутствует, что правомерно оценено судами в качестве несоблюдения досудебного порядка урегулирования спора.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«ЛК Газинвестгрупп»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"ЛК ГАЗИНВЕСТГРУПП" (подробнее) Ответчики: АО страховая компания "Армеец", г.Казань (подробнее) Иные лица: Одиннадцатый Арбитражный апелляционный суд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