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23.03.2020 иск удовлетворен. Постановлением Девятого арбитражного апелляционного суда от 06.10.2020, оставленным без изменения постановлением Арбитражного суда Московского округа от 17.12.2020, решение отменено, в удовлетворении иска отказано в связи с пропуском срока исковой давности. В кассационной жалобе общество «Форт Транс Логистика» просит о пересмотре судебных актов апелляционного и окружного судов, ссылаясь на предъявление иска в пределах общего срока исковой давности и игнорирование недобросовестного поведения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правоотношения сторон возникли в связи с перевозкой, по требованиям из которой применяются сроки на предъявление претензий и исков, установленные соответствующим транспортным уставом или кодексом (статьи 797 Гражданского кодекса Российской Федерации), правильно примененные апелляционным судом. Противоречия судебных актов судебной практике применения срока исковой давности по спорам, вытекающим из перевозки и экспедирования грузов, не усматривается.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«Форт Транс 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