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21.04.2020 по первоначальному иску взыскано 1 590 802 рубля 65 копеек задолженности, 159 080 рублей 27 копеек неустойки, во встречном иске отказано. Постановлением Тринадцатого арбитражного апелляционного суда от 27.08.2020, оставленным без изменения постановлением Арбитражного суда Северо-Западного округа от 11.12.2020, решение изменено: первоначальный и встречный иски удовлетворены частично; в результате произведенного судом 2 зачета удовлетворенных требований с общества «Медицинская компания» в пользу общества «Электрон» взыскано 1 348 754 рубля 92 копейки. В кассационной жалобе общество «Медицинская компания» просит о пересмотре судебных актов, ссылаясь на поставку комплектного оборудования за пределами срока, несение расходов на доставку комплектующих и уплату неустойки за неисполнение в срок обязательства перед государственным заказчиком.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удовлетворили первоначальный и встречный иски частично в соответствии с обстоятельствами исполнения сторонами договора поставки от 10.10.2018 № 18/213 и статьями 330, 486, 506, 516 Гражданского кодекса Российской Федерации. Заложенное в доводах жалобы оспаривание выводов судов, сделанных по итогу исследования и оценки доказательств,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