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12.08.2020, оставленным без изменения постановлением Девятого арбитражного апелляционного суда от 16.11.2020 и постановлением Арбитражного суда Московского округа от 10.02.2021, исковые требования удовлетворены. В кассационной жалобе общество «БААЗ» просит о пересмотре судебных актов, ссылаясь на нарушение подсудности, прав на участие в судебных заседаниях, представления доказательств, подачи заявления об уменьшении неустойки.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Доводы заявителя о подсудности, лишении возможности представления доказательств и подачи заявления об уменьшения неустойки отклонены апелляционным и окружным судами, поскольку допускаются до принятия решения судом первой инстанции и в положенный срок до суда не доведены. По той же причине указанные доводы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«БААЗ»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