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04.06.2020, оставленным без изменения постановлением Седьмого арбитражного апелляционного суда от 27.08.2020 и постановлением Арбитражного суда Западно-Сибирского округа от 22.12.2020, в удовлетворении первоначального иска отказано, встречный иск удовлетворен. В кассационной жалобе общество «Зевс» просит отменить судебные акты, ссылаясь на отсутствие обязанности оплачивать услуги после прекращения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исходили из того, что фактически оказанные услуги подлежат оплате независимо от действия договора, и, установив оказание услуг на согласованную сумму, удовлетворили встречный иск в соответствии со статьями 779, 781 Гражданского кодекса Российской Федерации. Заложенное в доводах жалобы оспаривание выводов судов, сделанных по результату исследования и оценки обстоятельств дела, не образует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