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19.03.2020 иск удовлетворен частично, с ответчика в пользу истца взыскана неустойка в размере 1 603 446,4 рублей, в удовлетворении остальной части иска отказано. Постановлением Девятого арбитражного апелляционного суда от 09.09.2020 решение суда первой инстанции изменено, с ответчика в пользу 2 истца взыскана неустойка в размере 16 034 464 рублей, в удовлетворении остальной части иска отказано. Постановлением Арбитражного суда Московского округа от 23.12.2020 постановление суда апелляционной инстанции оставлено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положениями статей 10, 309, 330, 401, 763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 апелляционной инстанции изменил решение суда первой инстанции, иск удовлетворил частично, признав факт нарушения ответчиком сроков выполнения работ по контракту и снизив размер неустойки на основании статьи 333 Гражданского кодекса Российской Федерации. Суд округа согласился с выводами суда апелляционной инстанции. 3 Доводы жалобы повторяют позицию общества по делу, являлись предметом рассмотрения судов апелляционной и кассационной инстанций, и получили исчерпывающую правовую оценку исходя из установленных обстоятельств и представленных доказательств, не согласиться с которой оснований не имеется. При этом согласно правовой позиции, изложенной в пункте 29 постановления Пленума Верховного Суда Российской Федерации от 30.06.2020 № 12 «О применении Арбитражного процессуального кодекса Российской Федерации при рассмотрении дел в арбитражном суде апелляционной инстанции», принятие дополнительных доказательств само по себе, в отсутствие доводов о том, как это могло повлиять на принятие судебных актов, не может служить основанием для отмены судебных актов.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