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Поскольку общество подало ходатайство в пределах указанного срока, суд считает возможным его удовлетворить и на основании части 2 статьи 291.2 АПК РФ восстановить пропущенный на один день процессуальный срок на подачу жалобы. Принимая во внимание изложенное и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«ПрофХолодМонтаж» о восстановлении пропущенного процессуального срока на подачу кассационной жалобы на решение Арбитражного суда Республики Крым от 30.01.2020, постановление Двадцать первого арбитражного апелляционного суда от 08.07.2020 и постановление Арбитражного суда Центрального округа от 08.12.2020 по делу № А83-15550/2019. Судья Верховного Суда Российской Федерации Н.С. Чучунова Суд: Верховный Суд РФ (подробнее) Истцы: ООО "Завод марочных вин Коктебель" (подробнее) Ответчики: ООО "ПРОФХОЛОДМОНТАЖ"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