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29.05.2020 исковые требования удовлетворены. Постановление Пятнадцатого арбитражного апелляционного суда от 21.08.2020 решение суда первой инстанции изменено, с общества в пользу компании взыскано 506 025 руб. 73 коп. задолженности и 8269 руб. процентов, в удовлетворении остальной части требований отказано. Постановлением Арбитражного суда Северо-Кавказского округа от 17.12.2020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компанией (поставщик) в рамках заключенных с обществом (покупатель) договора от 29.12.2018 № 30 и спецификации от 27.05.2019 № 1 понесены расходы по перевозке продукции и оформлению необходимых документов, обязанность уплаты которых возложена на покупателя, руководствуясь статьями 309, 310, 314, 395, 431 Гражданского кодекса Российской Федерации, суд апелляционной инстанции пришел к выводу о наличии оснований для взыскания с общества соответствующей задолженности и процентов за пользование чужими денежными средствами (с учетом перерасчета). С выводами апелляционного суда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«Белое Золото»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