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21.02.2020, оставленным без изменения постановлением Девятого арбитражного апелляционного суда от 09.07.2020, иск удовлетворен. Постановлением Арбитражного суда Московского округа от 20.10.2020 указанные судебные акты отменены, в удовлетворении иска отказано. Общество обратилось в Верховный Суд Российской Федерации с кассационной жалобой, в которой просит постановление суда округа отменить, считая его незаконным и необоснованным. При изучении доводов жалобы и принятых по делу судебных актов оснований для удовлетворения жалобы не установлено. Отказывая в иске, суд округа руководствовался положениями статей 15 , 339 , 763 , 1102 Гражданского кодекса Российской Федерации, статей 34, 95 Федерального закона от 05.04.2013 № 44-ФЗ «О контрактной системе в сфере закупок товаров, работ, услуг для обеспечения государственных и муниципальных нужд», статьи 38 Федерального закона от 21.11.2011 № 323-ФЗ «Об основах охраны здоровья граждан в Российской Федерации», и квалифицировал спорные правоотношения как возникшие из договорных обязательств, признав недоказанным право истца компенсировать свои расходы до расторжения контракта применительно к сохранению обязательственной связи сторон, а также с учетом отсутствия дополнительного соглашения на возмещение понесенных расходов после расторжения контракта. Доводы жалобы подлежат отклонению, в том числе, с учетом того, что спорная сумма не может быть признана убытками в отсутствие неправомерных и виновных действий ответчика.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АО "КОМПАНИЯ "БАМАРД" (подробнее) Ответчики: Департамент строительства города Москвы (подробнее) Судьи дела: Першутов А.Г. (судья) (подробнее) Последние документы по делу: Определение от 12 апреля 2021 г. по делу № А40-265776/2019 Определение от 12 февраля 2021 г. по делу № А40-265776/2019 Показать все документы по этому делу Судебная практика по: Упущенная выгода Судебная практика по применению норм ст. 15, 393 ГК РФ Неосновательное обогащение, взыскание неосновательного обогащения Судебная практика по применению нормы ст. 1102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