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06.07.2020, оставленным без изменения постановлением Девятого арбитражного апелляционного суда от 05.11.2020 и постановлением Арбитражного суда Московского округа от 21.01.2021,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несоответствие их выводов фактическим обстоятельствам дела, просит отменить указанные судебные акты и направить дело на новое рассмотрение в соответствующий арбитражный суд или принять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истцом товара и неисполнения ответчиком обязанности по его оплате в полном объеме, руководствуясь статьями 309, 310, 329, 330, 454, 486, 506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заявителя о необоснованном неприменении судами положений статьи 333 Гражданского кодекса Российской Федерации были предметом рассмотрения суда округа и получили правовую оценку. Доводы кассационной жалобы не свидетельствуют о существенном нарушении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«ВыТоКи-ЛЮКС»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