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27.03.2020 первоначальные и встречные исковые требования удовлетворены частично, в пользу общества 2 взыскана стоимость выполненных работ в сумме 611 491 рубля 44 копеек, пени за нарушение сроков оплаты работ в сумме 96 303 рублей 69 копеек и проценты за пользование чужими денежными средствами в сумме 79 383 рублей 49 копеек, по встреченному иску в пользу учреждения взыскана неустойка в сумме 218 215 рублей 51 копейки. Произведен зачет требований, по результатам которого в пользу общества взыскана задолженность в сумме 645 492 рублей 61 копейки. Постановлением Двадцать первого арбитражного апелляционного суда от 25.08.2020 решение суда первой инстанции отменено в части отказа во взыскании штрафа по встречному иску, в данной части принято новое решение об удовлетворении заявленных требований. Решение суда в части проведения взаимозачета и распределения судебных расходов изменено. В остальной части решение оставлено без изменения. Арбитражный суд Центрального округа постановлением от 07.12.2020 оставил постановление суда апелляционной инстанции от 25.08.2020 без изменения. В кассационной жалобе, поданной в Верховный Суд Российской Федерации, общество ставит вопрос об отмене принятых по делу судебных актов в части взыскания неустойки за нарушение сроков выполнения работ,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обществом (подрядчик) и учреждением (заказчик) заключен государственный контракт от 21.08.2017 на выполнение работ по капитальному ремонту ограждения. Неоплата заказчиком результата выполненных подрядчиком работ явилась основанием для обращения общества в арбитражный суд с настоящим иском. Встречные исковые требования о применении к подрядчику ответственности за неисполнение или ненадлежащее исполнение обязательств мотивированны тем, что работы, предусмотренные контрактом, не были выполнены подрядчиком в полном объеме и в срок. В кассационной жалобе обществом оспариваются выводы судов относительно правомерности начисления неустойки за нарушение сроков 3 выполнения работ. Удовлетворяя требование учреждения в указанной части, суды, руководствуясь положениями статей 309, 310, 330, 702, 708, 720, 740, 743, 753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возложения на общество гражданско-правовой ответственности в виде выплаты неустойки, произведя ее перерасчет. При этом судебные инстанции исходили из ненадлежащего выполнения истцом по первоначальному иску принятых на себя обязательств по контракту в части соблюдения срока выполнения подрядных работ. Расчет неустойки произведен судами исходя из буквального толкования условий пункта 6.4 контракта. Доводы заявителя жалобы о неправомерном начислении неустойки за просрочку выполнения работ, объем которых подтвержден по результатам судебной строительно-технической экспертизы, в отсутствие возражений относительно периода начисленной неустойки, признаются несостоятельными. На основании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 или допущенной судебной ошибке,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Паритет»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