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28.07.2020, оставленным без изменения постановлением Пятнадцатого арбитражного апелляционного суда от 16.09.2020, в удовлетворении заявления отказано. 2 Постановлением Арбитражного суда Северо-Кавказского округа от 25.12.2020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с нарушением условий лицензии и действующего проектного документа по разработке нефтяного месторождения.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привлечения к административной ответственности соблюдены, признав, что общество не выполнило условия лицензии и на момент проведения проверки продолжало пользоваться недрами с нарушением. Наказание назначено в минимальном размере санкции нормы. Вина заявителя в совершении правонарушения с учетом положений статьи 2.1 Кодекса Российской Федерации об административных правонарушениях установлена. 3 Доводы жалобы были предметом исследования судов и получили исчерпывающую правовую оценку в обжалуемых судебных актах с учетом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