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01.04.2020 направило в Верховный Суд Российской Федерации кассационную жалобу, одновременно заявив ходатайство о восстановлении пропущенного срока ее подачи. В обоснование ходатайства общество ссылается на неполучение копии обжалуемого постановления суда округа.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Однако, как следует из обжалуемых судебных актов, общество являлось инициатором обращения с кассационной жалобой в суд округа, знало о состоявшихся судебных актах,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В соответствии с частями 1 и 6 статьи 291.3 Арбитражного процессуального кодекса Российской Федерации, общество имело возможность своевременно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3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«Флора»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