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08.11.2019 общество привлечено к административной ответственности, предусмотренной частью 4 статьи 14.1 Кодекса Российской Федерации об административных правонарушениях и ему назначено наказание в виде штрафа в размере 100 000 рублей. 2 Постановлением Десятого арбитражного апелляционного суда от 31.08.2020 решение суда первой инстанции отменено, в удовлетворении заявленных требований отказано. Постановлением Арбитражного суда Московского округа от 24.12.2020 постановление суда апелляционной инстанции оставлено без изменения. Прокуратура обратилась в Верховный Суд Российской Федерации с кассационной жалобой на постановление суда апелляционной инстанции и постановление суда округа, ссылаясь на допущенные, по его мнению, существенные нарушения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Отменяя решение суда первой инстанции и отказывая в удовлетворении требования, суд апелляционной инстанции руководствовался положениями статьи 21 Федерального закона от 17.01.1992 № 2202-1 «О прокуратуре Российской Федерации», и исходил из установленных обстоятельств, свидетельствующих о допущенных прокуратурой существенных нарушениях прав и законных интересов проверяемого лица, установив факт не доведении до сведения руководителя или иного уполномоченного представителя проверяемой организации решения о проведении проверки не позднее дня начала проверки, что повлекло нарушение прав лица знать о проводимых в отношении него проверочных мероприятиях и представлять при этом свои объяснения и возражения в ходе данных мероприятий. Указанные выводы судов в жалобе не опровергнуты.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