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27.03.2020, оставленным без изменения постановлением Пятнадцатого арбитражного апелляционного суда от 20.07.2020, в удовлетворении требований отказано. 2 Постановлением Арбитражного суда Северо-Кавказского округа от 16.12.2020 указанные судебные акты отменены, требования удовлетворены. Административный орган обратился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Исходя из установленных судами обстоятельств совершения обществом правонарушения 26.12.2017, суд округа пришел к выводу о том, что срок давности привлечения к административной ответственности, установленный частью 1 статьи 4.5 Кодекса Российской Федерации об административных правонарушениях, на момент вынесения постановления истек. Доводы жалобы противоречат положениям части 1 статьи 4.5 Кодекса Российской Федерации об административных правонарушениях, в соответствии с которой постановление по делу об административном правонарушении, связанном с нарушением таможенного законодательства, не может быть вынесено по истечении двух лет со дня совершения административного правонарушения. При этом в соответствии с правовой позиции, изложенной в постановлении Президиума ВАС РФ от 03.06.2014 № 1487/14 применительно к двухмесячному сроку давности привлечения к административной ответственности, если срок давности начинает течь 18.08.2012, то истекает в соответствующее число - 17.10.2012.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