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 Москвы от 18.06.2020, оставленным без изменения постановлением Девятого арбитражного апелляционного суда от 26.08.2020, в удовлетворении требования отказано. Постановлением Арбитражного суда Московского округа от 11.12.2020 указанные судебные акты оставлены без изменения. 2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198, 201 Арбитражного процессуального кодекса Российской Федерации, статей 87, 89 Налогового кодекса Российской Федерации, правовыми позициями постановления Пленума Верховного Суда Российской Федерации и Пленума Высшего Арбитражного Суда Российской Федерации от 01.07.1996 №6/8 «О некоторых вопросах связанных с применением части первой Гражданского кодекса Российской Федерации», постановления Пленума Высшего Арбитражного суда Российской Федерации от 30.07.2013 №57 «О некоторых вопросах, возникающих при применении арбитражными судами части 1 Налогового кодекса РФ», суды отказали в удовлетворении требования, признав не доказанным несоответствие оспариваемого решения закону или иному нормативному правовому акту, а также нарушение прав и законных интересов налогоплательщика. Доводы жалобы были предметом исследования судов и получили исчерпывающую правовую оценку с учетом конкретных установленных обстоятельств, не свидетельствующих об изменении положения лица, в отношении которого такое решение было вынесено, не согласиться с которыми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