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30.06.2020, оставленным без изменения постановлением Семнадцатого арбитражного апелляционного суда от 27.08.2020, в иске отказано. Постановлением Арбитражного суда Уральского округа от 14.12.2020 указанные судебные акты оставлены без изменения. 2 В кассационной жалобе, поступившей в Верховный Суд Российской Федерации, Пенсионный фонд просит отменить принятые по делу судебные акты,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статьями 11, 17 Федерального закона от 01.04.1996 № 27-ФЗ «Об индивидуальном (персонифицированном) учете в системе обязательного пенсионного страхования», суды отказали в иске, признав недоказанным наличие причинно- следственную связи между действиями общества по представлению сведений индивидуального (персонифицированного) учета и причиненным ущербом в виде излишне выплаченных сумм пенсий. При этом суды указали, что на момент принятия решения о выплате пенсии в повышенном размере Пенсионный фонд располагал сведениями об осуществлении застрахованным лицом трудовой деятельности. Указанные выводы судов в жалобе Пенсионным фондом не опровергнуты. Приведенная в жалобе судебная практика касается иных установленных судами обстоятельствам, связанных с определением у Пенсионного фонда возможности принять решение о прекращении выплаты индексированной пенсии в спорный период.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