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21.05.2020, оставленным без изменения постановлениями Девятого арбитражного апелляционного суда от 27.08.2020 и Арбитражного суда Московского округа от 21.12.2020, в удовлетворении заявления отказано. В кассационной жалобе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по вопросу правильности исчисления и своевременности уплаты (удержания, перечисления) всех налогов и сборов за период с 01.01.2014 по 31.12.2016 инспекцией вынесено оспариваемое решение, которым обществу доначислены налог на прибыль и НДС, начислены соответствующие суммы пеней и штрафов. Основанием для начисления налога на прибыль и НДС послужили выводы налогового органа о получении обществом необоснованной налоговой выгоды в виде занижения налоговой базы по налогу на прибыль и завышения налоговых вычетов по НДС по взаимоотношениям с обществами с ограниченной ответственностью «Гамбит», «СтройЛюкс», «СТК Титан», «МелитСтрой», «Крейт», «Зеленый мир» (далее - контрагенты). Решением Управления Федеральной налоговой службы по городу Москве от 15.03.2019 № 21-19/041111@, вынесенным по результатам рассмотрения жалобы общества, решение налогового органа оставлено без изменения.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169, 171, 172, 247, 252, 253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суды пришли к выводу о правомерности произведенных инспекцией доначислений соответствующих налогов, сумм пеней и штрафов. Судебные инстанции исходили из создания обществом формального документооборота со своими контрагентами с целью получения необоснованной налоговой выгоды. При исследовании обстоятельств дела установлено отсутствие реальности хозяйственных операций (у контрагентов заявителя отсутствует имущество, транспортные средства, а также сотрудники, которые могли бы выполнить взятые на себя обязательства по договорам, заключенным с обществом), 3 недостоверность представленных первичных учетных документов (счетов-фактур и иных документов), не проявление налогоплательщиком должной степени осмотрительности и осторожности при заключении сделки с контрагентами, наличие транзитного характера в движении денежных средств, перечисляемых заявителем своим контрагентам, а также отсутствие сведений об исполнении обязанности по уплате в бюджет контрагентами сумм налогов по спорным сделкам. Доводы налогоплательщика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направлены на иную оценку собранных по делу доказательств и фактических обстоятельств дела, аналогичны доводам, ранее заявлявшимся в судах, которым дана соответствующая правовая оценка. Ссылка в кассационной жалобе на не указание в судебных актах всех имеющихся в деле доказательств и доводов заявителя подлежит отклонению, поскольку не свидетельствует об отсутствии их надлежащей судебной проверки и оценки.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«АрборСтрой»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