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02.06.2020, оставленным без изменения постановлением Одиннадцатого арбитражного апелляционного суда от 02.09.2020, в удовлетворении требований, объединенных в одно производство, отказано. Арбитражный суд Поволжского округа постановлением от 16.12.2020 названные судебные акты отменил, дело направил на новое рассмотрение в Арбитражный суд Республики Татарстан. В кассационной жалобе антимонопольный орган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05-220/2018 антимонопольным органом принято решение от 11.10.2019 № 05-220/2018, в соответствии с которым дело в отношении ООО «Артэс» и ООО «МЕДКОМ» по признакам нарушения пункта 2 части 1 статьи 11 Федерального закона от 26.07.2006 № 135-Ф3 «О защите конкуренции» (далее – Закон о защите конкуренции) прекращено (пункт 1 решения); ООО «ВЕГА» признано нарушившим требования пункта 2 части 1 статьи 11 Закона о защите конкуренции, выразившегося в достижении устного картельного соглашения с группой лиц: ЗАО «Медпром» и ООО «МЕДСИМВОЛ», ООО «Биолаб- Медика» и ООО «Сибмед», ООО «Биолаб-Медика» и ООО «МедикаМ», реализация которого привела к поддержанию цен на аукционах в электронной форме (пункт 2 решения); ООО «РЕНИР» признано нарушившим требования пункта 2 части 1 статьи 11 Закона о защите конкуренции, выразившегося в достижении устного картельного соглашения с группой лиц: ЗАО «Медпром» и ООО «МЕДСИМВОЛ», реализация которого привела к поддержанию цен на аукционах в электронной форме (пункт 3 решения); решено передать имеющиеся материалы должностному лицу управления для рассмотрения вопроса о возбуждении дела об административном правонарушении (пункт 4 решения). Не соглашаясь с обжалуемыми пунктами решения управления, ООО «ВЕГА» и ООО «РЕНИР» обратились в арбитражный суд. Отказывая в удовлетворении заявленных требований, суды первой и апелляционной инстанций признали оспариваемое решение антимонопольного органа законным и обоснованным и исходили из наличия в действиях заявителей вмененных нарушений. Суды указали, что поведение обществ свидетельствует о намеренном участии второго участника закупки с целью поддержания цены контракта, максимально приближенной к начальной (максимальной) цене контракта, и победе в данной закупке. Отменяя принятые по делу судебные акты и направляя дело на новое рассмотрение, суд кассационной инстанции пришел к выводу о неполном исследовании судами всех обстоятельств дела. В частности, суд округа установил, что при рассмотрении спора не дана надлежащая оценка доводам заявителей об отсутствии доказательств, подтверждающих модель группового 3 поведения хозяйствующих субъектов, о ненадлежащем анализе тактики поведения участников аукциона.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