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22.01.2020, оставленным без изменения постановлениями Семнадцатого арбитражного апелляционного суда от 01.09.2020 и Арбитражного суда Уральского округа от 22.12.2020,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документарной проверки на предмет соблюдения обществом обязательных требований к определению размера платы и внесению платы за коммунальные услуги собственникам и пользователям жилых помещений в многоквартирном доме департаментом выдано предписание Основанием для выдачи оспариваемого предписания послужили установленные департаментом обстоятельства предъявления обществом в платежных документах собственникам жилых помещений многоквартирного дома платы за отопление, начисленной за объем энергии, отличный от зафиксированного общедомовым прибором учета.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544 Гражданского кодекса Российской Федерации, статьи 157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пришли к выводу о том, что оспариваемое предписание соответствует действующему законодательству. Судебные инстанции исходили из того, что начисление платы за отопление осуществляется исходя из тарифов и объема потребленной в доме тепловой энергии, определенного по показаниям коллективного (общедомового) прибора учета тепловой энергии. Ссылка общества на иную судебную практику не может служить основанием для отмены обжалуемых судебных актов с учетом фактических обстоятельств настоящего спора.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3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«Теплоснабжающая компания г. Реж»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