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13.03.2020, оставленным без изменения постановлениями Семнадцатого арбитражного апелляционного суда от 26.08.2020 и Арбитражного суда Уральского округа от 14.12.2020, в удовлетворении требований, объединенных в одно производство, отказано. В кассационной жалобе департамент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 о нарушении заказчиком в лице диспансера, госпиталя, уполномоченным органом в лице департамента, его комиссией при осуществлении закупки путем проведения электронного аукциона на услуги по организации диетического лечебного питания положений законодательства о закупках антимонопольным органом приняты решения. Управлением жалобы заявителей признаны обоснованными, в действиях департамента выявлено нарушение части 6 статьи 31, части 2 статьи 25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Основанием для принятия решений послужил вывод антимонопольного органа о неправомерном установлении в аукционной документации требования о наличии у участников закупки действующей лицензии на осуществление медицинской деятельности. Не согласившись с решениями управления, департамент обратился в арбитражный суд. Отказывая в удовлетворении заявленных требований, суды, исследовав и оценив представленные в материалы дела доказательства, руководствуясь положениями части 6 статьи 31, частей 1, 3 статьи 64 Закона о контрактной системе, Федерального закона от 04.05.2011 № 99-ФЗ «О лицензировании отдельных видов деятельности»,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3 частную систему здравоохранения, на территории инновационного центра «Сколково»), утвержденным постановлением Правительства Российской Федерации от 16.04.2012 № 291, Инструкцией по организации лечебного питания в лечебно-профилактических учреждениях, утвержденной приказом Министерства здравоохранения Российской Федерации от 05.08.2003 № 330, пришли к выводу об отсутствии оснований для признания оспариваемых решений антимонопольного органа недействительными. Судебные инстанции исходили из того, что приготовление лечебного питания не является медицинской услугой, в связи с чем установленное в аукционной документации требование о наличии у участников действующей лицензии на осуществление медицинской деятельности не соответствует закону. Доводы, изложенные в кассационной жалобе, повторяют позицию департамента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государственных закупок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