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15.07.2020, оставленным без изменения постановлением Восемнадцатого арбитражного апелляционного суда от 14.09.2020 и постановлением Арбитражного суда Уральского округа от 11.12.2020, иск удовлетворен.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несоответствие выводов судов фактическим 2 обстоятельствам дела, просит отменить указанные судебные акты и принять новый судебный акт об отказе в удовлетворении иска.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Основанием для обращения компании (подрядчик) в арбитражный суд с иском по настоящему делу послужило ненадлежащее исполнение обществом (инвестор) обязательств по оплате работ, выполненных подрядчиком в рамках договора подряда от 24.10.2017 № 24/10-2017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 и квалифицировав его как смешанный, содержащий в себе элементы договоров купли-продажи и подряда, установив факт выполнения компанией работ по договору и принятия их результата заказчиком (третье лицо), учитывая, что обязанность по оплате работ возникла у общества в силу положений договора в пределах согласованной в нем стоимости, доказательств полной оплаты результата работ не представлено, руководствуясь статьями 309, 310, 421, 432, 454, 549, 711, 746 Гражданского кодекса Российской Федерации, положениями Федерального закона от 25.02.1999 № 39-ФЗ «Об инвестиционной деятельности в Российской Федерации, осуществляемой в форме капитальных вложений», разъяснениями, приведенными в постановлении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суды первой и апелляционной инстанций пришли к выводу о наличии оснований для удовлетворения иска. Суд округа согласился с выводами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«Челябинский машиностроительный завод автомобильных прицепов «Уралавтоприцеп»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