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13.02.2020, оставленным без изменения постановлением Девятого арбитражного апелляционного суда от 13.08.2020 и постановлением Арбитражного суда Московского округа от 09.12.2020, заявленные требования удовлетворены. В кассационной жалобе, поданной в Верховный Суд Российской Федерации, учреждение, ссылаясь на нарушение судами норм материального и процессуального права, просит отменить указанные судебные акты и прекратить производство по делу.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166, 167, 309, 310, 421, 450.1, 720, 723 Гражданского кодекса Российской Федерации, разъяснениями, приведенными в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признав неподтвержденным факт существенного нарушения обществом (исполнитель) условий договора, пришли к выводу об отсутствии у учреждения (заказчик) оснований для одностороннего отказа от исполнения договора, в связи с чем удовлетворили заявленные требования. Впоследствии с указанными выводами согласился суд округа.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учреждения Специальный летный отряд «Россия»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