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«Медицинский центр «Давинчи» в лице ФИО1 и ФИО2 обратилось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ФИО3 о взыскании 14 334 188 рублей 10 копеек убытков. Решением Арбитражного суда Ростовской области от 09.06.2020, оставленным без изменения постановлением Пятнадцатого арбитражного апелляционного суда от 11.08.2020 и постановлением Арбитражного суда Северо- Кавказского округа от 01.12.2020,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решение Арбитражного суда Ростовской области от 09.06.2020, постановление Пятнадцатого арбитражного апелляционного суда от 11.08.2020 и постановление Арбитражного суда Северо- Кавказского округа от 01.12.2020 по делу № А53-46205/2019 восстановить. Судья Верховного Суда Российской Федерации Н.С. Чучунова Суд: Верховный Суд РФ (подробнее) Ответчики: ООО "МЕДИЦИНСКИЙ ЦЕНТР "ДАВИНЧИ" (подробнее) Судьи дела: Чучунова Н.С. (судья) (подробнее) Последние документы по делу: Определение от 9 апреля 2021 г. по делу № А53-46205/2019 Определение от 15 февраля 2021 г. по делу № А53-46205/2019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