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01.06.2020 по первоначальному иску взыскано 15 000 рублей неустойки, во встречном иске отказано. Постановлением Тринадцатого арбитражного апелляционного суда от 27.08.2020, оставленным без изменения постановлением Арбитражного суда Северо-Западного округа от 17.12.2020, решение изменено: по первоначальному иску взыскано 206 627 рублей 57 копеек неустойки, во встречном иске отказано. В кассационных жалобах заявители просят об отмене судебных актов апелляционного и окружного судов: общество «Кристалл 39» – в связи недостаточным уменьшением неустойки, общество «Лифт-монтаж 39» – в связи с неправомерным отказом во взыскании неустойки за нарушение обязательства по окончательной оплате работ.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Обстоятельства, составляющие условия для применения ответственности и влияющие на ее размер, установлены судами применительно к компетенции и не относятся к создающим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«Лифт-монтаж 39» и обществу с ограниченной ответственностью «Кристалл 39»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