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30.06.2020, оставленным без изменения постановлением Девятнадцатого арбитражного апелляционного суда от 15.09.2020 и постановлением Арбитражного суда Центрального округа от 16.12.2020, исковые требования удовлетворены. В кассационной жалобе Камаев С.В. просит об отмене судебных актов, ссылаясь на обязанность возмещения убытков истцом как перевозчиком.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груз стоимость которого взыскана с истца в судебном порядке, утрачен при перевозке водителем ответчика по товарно- транспортной накладной № 1739, удостоверяющей заключение договора перевозки. Следовательно, обязанность по возмещению убытков вследствие утраты груза возложена на ответчика в силу статей 15, 393, 785, 796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Камаеву Сергею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