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29.05.2020, оставленным без изменения постановлением Девятого арбитражного апелляционного суда от 22.09.2020, в удовлетворении иска отказано. Арбитражный суд Московского округа постановлением от 09.12.2020 решение от 29.05.2020 и постановление Девятого арбитражного апелляционного суда от 22.09.2020 оставил без изменения. В кассационной жалобе общество «Паркомплект» просит об отмене судебных актов, ссылаясь на процессуальные нарушения и неосновательное признание состоявшейся передачи прав выгодоприобретателя.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На основании договора страхования (полис ЕЕЕ № 1028110961) застрахована гражданская ответственность общества «Солерс Финанс» за причинение вреда третьим лицам при использовании транспортного средства, поэтому при прекращении права собственности ответчика на транспортное средство этот договор прекратился. По договору, не относящемуся к страхованию имущества (предмета лизинга), истец не праве требовать понуждения к передаче прав выгодоприобретателя в судебном порядке. Действия суда, которые заявитель считает процессуальными нарушениями, таковыми не являются и не влияют на судьбу судебных актов в кассационной инстанции.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«Паркомплект»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