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10.07.2020 первоначальный и встречный иски удовлетворены. В результате произведенного зачета удовлетворенных требований с завода в пользу общества взыскано 7 461 432 рубля 76 копейки задолженности, 3 608 058 рублей 22 копейки неустойки. Постановлением Семнадцатого арбитражного апелляционного суда от 23.10.2020, оставленным без изменения постановлением Арбитражного суда Уральского округа от 14.01.2021, решение отменено в части, первоначальный иск удовлетворен частично. В результате зачета удовлетворенных требований с завода в пользу общества взыскано 7 461 432 рубля 76 копеек задолженности, 283 678 рублей 40 копеек неустойки. 2 В кассационной жалобе общество просит о пересмотре судебных актов в неудовлетворенной части первоначального иска и по встречному иску, ссылаясь на неосновательное уменьшение заявленной им неустойки и исполнение обязательства по поставке к моменту предъявления встречного иска.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удовлетворяющие критериям для уменьшения заявленной в первоначальном иске неустойки, установлены судами и не подлежат пересмотру на стадии кассационного производства. По встречному иску взыскана договорная длящаяся неустойка за период просрочки поставки, не зависящая от исполнения обязательства к моменту предъявления требования о ее взыскании. Вопросы исковой давности нижестоящими судами не обсуждались, в связи с чем довод жалобы о ней в также обсуждению не подлежит. Судебные акты соответствуют установленным обстоятельствам исполнения договора поставки от 20.04.2011 № 305/196 и статьям 329, 330, 333, 506, 516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«Пермэнергокомплект»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