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«БалтВестОйл» обратилось в Арбитражный суд города Санкт-Петербурга и Ленинградской области с иском о взыскании с общества с ограниченной ответственностью «Несте Санкт- Петербург» (в настоящее время – общество с ограниченной ответственностью «Татнефть-АЗС-Северо-Запад») 179 700 рублей убытков по договору поставки нефтепродуктов от 01.03.2013 № 03/03/2013 в связи с простоем железнодорожных цистерн. Решением Арбитражного суда города Санкт-Петербурга и Ленинградской области от 23.01.2020 в удовлетворении иска отказано. Постановлением Тринадцатого арбитражного апелляционного суда от 13.08.2020 решение суда первой инстанции оставлено без изменения. Арбитражный суд Северо-Западного округа постановлением от 08.12.2020 указанные судебные акты оставил без изменения. 2 Общество с ограниченной ответственностью «БалтВестОйл»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393, 195, 196, 199, 200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выводам о пропуске истцом срока исковой давности по части требований и недоказанности вины ответчика в нарушении сроков по разгрузке вагонов-цистерн.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«БалтВестОйл»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