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«Ювелир» обратилось в Арбитражный суд города Москвы с иском о взыскании с индивидуального предпринимателя Глазкова Кирилла Владимировича 2 120 000 рублей неосновательного обогащения и 147 002 рублей 59 копеек процентов за пользование чужими денежными средствами. Решением Арбитражного суда города Москвы от 21.08.2020 иск удовлетворен. Постановлением Девятого арбитражного апелляционного суда от 27.10.2020 решение суда первой инстанции оставлено без изменения. Арбитражный суд Московского округа постановлением от 25.02.2021 указанные судебные акты отменил и направил дело на новое рассмотрение в Арбитражный суд города Москвы. Общество с ограниченной ответственностью «Ювелир»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 2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приведенные в жалобе, при новом рассмотрении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«Ювелир»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