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30.06.2020 в иске отказано. Постановлением Двенадцатого арбитражного апелляционного суда от 26.08.2020, оставленным без изменения постановлением Арбитражного суда Поволжского округа от 17.12.2020, решение изменено: взыскано 10 246 рублей 50 копеек неустойки. В кассационной жалобе общество просит об отмене судебных актов апелляционного и окружного судов, ссылаясь на нарушение апелляционным судом в оценке доказательств доставки оборудования.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условия для применения договорной неустойки и влияющие на ее размер, установлены судами применительно к исполнению сторонами условий контракта от 14.10.2019 № СТО1/БИЦ/СМП/2019 и в соответствии со статьями 329, 330 Гражданского кодекса Российской Федерации. Приведенные в рассматриваемой жалобе доводы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«ЛассаМед»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