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06.07.2020, оставленным без изменения постановлением Восемнадцатого арбитражного апелляционного суда от 29.09.2020 и постановлением Арбитражного суда Уральского округа от 24.12.2020, иск удовлетворен. В кассационной жалобе общество «Металл-Деталь» просит об отмене судебных актов, ссылаясь на самостоятельное изменение судом предмета иска и взыскание убытков в отсутствие доказательств нарушения договора и заключения замещающей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 истца на отказ от договора и заключение замещающей сделки обусловлены нарушением обществом «Металл-Деталь» согласованного в договоре от 11.03.2019 № 11/03/2019 срока поставки и доказаны и взыскание в связи с ними убытков основано на статьях 15, 393, 520, 524 Гражданского кодекса Российской Федерации. Правовая квалификация заявленной суммы отнесена к компетенции суда (часть 1 статьи 168 Арбитражного процессуального кодекса Российской Федерации) и не является изменением предмета иска.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«Металл-Деталь»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