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апреля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Кировской области от 20.04.2020 производство по делу прекращено в связи с отказом предпринимателя от заявленного требования в связи с добровольным удовлетворением инспекцией требований. В дальнейшем предприниматель обратился в арбитражный суд с заявлением о взыскании с инспекции 54 599 рублей судебных расходов. 2 Определением Арбитражного суда Кировской области от 21.07.2020, оставленным без изменения постановлением Второго арбитражного апелляционного суда от 24.09.2020, заявленное требование удовлетворено частично, с инспекции в пользу предпринимателя взыскано 16 000 рублей судебных расходов, в удовлетворении остальной части заявленного требования отказано. Постановлением Арбитражного суда Волго-Вятского округа от 19.01.2021 указанные судебные акты оставлены без изменения. Предприниматель просит отменить обжалуемые судебные акты, считая их незаконными и необоснованными. Согласно пункту 1 части 7 статьи 291.6 Арбитражного процессуального кодекса Российской Федерации по результатам изучения кассационной жалобы, представления судья Верховного Суда Российской Федерации выносит определение об отказе в передаче кассационных жалобы, представления для рассмотрения в судебном заседании Судебной коллегии Верховного Суда Российской Федерации, если изложенные в кассационных жалобе, представлении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 и (или) для решения вопроса о присуждении компенсации за нарушение права на судопроизводство в разумный срок, а также если указанные доводы не находят подтверждения в материалах дела. Основания для пересмотра судебных актов в кассационном порядке по доводам жалобы отсутствуют. Оценив представленные доказательства, руководствуясь положениями статей 101, 106, 110, 112 Арбитражного процессуального кодекса Российской Федерации, разъяснениями, изложенными в постановлении Пленума Верховного Суда Российской Федерации от 21.01.2016 № 1 «О некоторых вопросах применения законодательства о возмещении издержек, связанных с рассмотрением дела», суды с учетом представленных доказательств пришли к 3 выводу о наличии оснований для взыскания судебных расходов в размере 16 000 рублей, признав заявленную предпринимателем сумму судебных расходов чрезмерной и определив расходы на оплату услуг представителя в разумных пределах. Доводы, изложенные в кассационной жалобе, являлись предметом рассмотрения судов трех инстанций, им дана исчерпывающая правовая оценка в обжалуемых судебных актах, не согласиться с которой оснований не имеется. Существенных нарушений норм материального права, а также требований процессуального законодательства, повлиявших на исход судебного разбирательства, судом не допущено.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