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Кировской области от 20.04.2020 производство по делу прекращено в связи с отказом предпринимателя от заявленного требования. В дальнейшем предприниматель обратился в арбитражный суд с заявлением о взыскании с инспекции 60 159 рублей судебных расходов. 2 Определением Арбитражного суда Кировской области от 21.07.2020, оставленным без изменения постановлением Второго арбитражного апелляционного суда от 24.09.2020, заявленное требование удовлетворено частично, с инспекции в пользу предпринимателя взыскано 20 000 рублей судебных расходов, в удовлетворении остальной части заявленного требования отказано. Постановлением Арбитражного суда Волго-Вятского округа от 18.12.2020 указанные судебные акты оставлены без изменения. Предприниматель просит отменить обжалуемые судебные акты, считая их незаконными и необоснованными. Согласно пункту 1 части 7 статьи 291.6 Арбитражного процессуального кодекса Российской Федерации по результатам изучения кассационной жалобы, представления судья Верховного Суда Российской Федерации выносит определение об отказе в передаче кассационных жалобы, представления для рассмотрения в судебном заседании Судебной коллегии Верховного Суда Российской Федерации, если изложенные в кассационных жалобе, представлении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 и (или) для решения вопроса о присуждении компенсации за нарушение права на судопроизводство в разумный срок, а также если указанные доводы не находят подтверждения в материалах дела. Основания для пересмотра судебных актов в кассационном порядке по доводам жалобы отсутствуют. Оценив представленные доказательства, руководствуясь положениями статей 101, 106, 110, 112 Арбитражного процессуального кодекса Российской Федерации, разъяснениями, изложенными в постановлении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суды с учетом представленных доказательств пришли к 3 выводу о наличии оснований для взыскания судебных расходов в размере 20 000 рублей, признав заявленную предпринимателем сумму судебных расходов чрезмерной и определив расходы на оплату услуг представителя в разумных пределах. Доводы, изложенные в кассационной жалобе, являлись предметом рассмотрения судов трех инстанций, им дана исчерпывающая правовая оценка в обжалуемых судебных актах,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