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повторно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05.11.2020,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в частности своевременное направление в суд первоначальной кассационной жалобы, суд признает их уважительными. Поскольку ходатайство заявлено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предприятия Калининградской области «Единая система обращения с отходами» о восстановлении пропущенного процессуального срока подачи кассационной жалобы удовлетворить. Восстановить государственному предприятию Калининградской области «Единая система обращения с отходами» срок подачи кассационной жалобы на решение Арбитражного суда Калининградской области от 26.12.2019, постановление Тринадцатого арбитражного апелляционного суда от 19.06.2020 и постановление Арбитражного суда Северо-Западного округа от 05.11.2020 по делу № А21-14210/2019. Судья Верховного Суда Российской Федерации Н.В. Павлова Суд: Верховный Суд РФ (подробнее) Истцы: ГП КО Единая система обращения с отходами (подробнее) ГП КО "ЕССО" - Региональный операторпо обращению с твердыми коммунальными отходами на терр. КО (подробнее) Ответчики: Управление Федеральной антимонопольной службы по Калининградской области (подробнее) УФАС по КО (подробнее) Судьи дела: Павлова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