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18.06.2020, оставленным без изменения постановлением Девятого арбитражного апелляционного суда от 15.09.2020, иск удовлетворен. Постановлением Арбитражного суда Московского округа от 23.12.2020 указанные судебные акты оставлены без изменения. Ответчик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329 , 330 , 333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установив просрочку ответчиком обязательства, и признав расчет неустойки основанным на условиях договора. Доводы жалобы повторяют позицию ответчика по делу, являлись предметом рассмотрения судов и получили исчерпывающую правовую оценку,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"ЦЕНТР СУДОРЕМОНТА "ЗВЕЗДОЧКА" (подробнее) Ответчики: ООО "Компания Энергоремонт" (подробнее) Судьи дела: Першутов А.Г.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