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«Бэст Прайс»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«Садовый питомник Кутепово» 3 176 880 рублей стоимости некачественного товара и 38 884 рублей расходов за проведенную экспертизу. Решением Арбитражного суда города Москвы от 14.02.2020 в удовлетворении иска отказано. Постановлением Девятого арбитражного апелляционного суда от 11.08.2020 решение суда первой инстанции оставлено без изменения. Арбитражный суд Московского округа постановлением от 15.12.2020 указанные судебные акты оставил без изменения. Общество с ограниченной ответственностью «Бэст Прайс»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недоказанность факта поставки товара ненадлежащего качества, руководствуясь положениями статей 309, 310, 450.1, 454, 469, 475, 476, 477, 486, 506, 523 Гражданского кодекса Российской Федерации, суды пришли к выводу об отсутствии оснований для удовлетворения иска. Доводы, изложенные в кассационной жалобе,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«Бэст Прайс»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