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25.02.2020, оставленным без изменения постановлением Четвертого арбитражного апелляционного суда от 23.07.2020 и постановлением Арбитражного суда Восточно-Сибирского округа от 07.12.2020, исковые требования удовлетворены. В кассационной жалобе, поданной в Верховный Суд Российской Федерации, общество просит отменить указанные судебные акты, ссылаясь на нарушение судами норм права. По смыслу части 1 статьи 291.1, части 7 статьи 291.6, статьи 291.11 Арбитражного процессуального кодекса Российской Федерации,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исковые требования, суды первой и апелляционной инстанций, руководствуясь статьями 15, 330, 393, 395, 431, 450, 779, 781, 782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договоры от 01.10.2011 № 01/11, от 01.10.2011 № 01/11/опс, акты приема-передачи оборудования, уведомления о расторжении договоров, исходили из подтвержденности факта неисполнения ответчиком обязательства по возмещению истцу стоимости оборудования при расторжении договоров, а также нарушения ответчиком сроков уведомления истца о расторжении договоров и оплаты оказанных услуг. С выводами судов первой и апелляционной инстанций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«Ригла»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