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26.02.2020, оставленным без изменения постановлением Двенадцатого арбитражного апелляционного суда от 26.05.2020 и постановлением Арбитражного суда Поволжского округа от 07.12.2020, с общества в пользу компании взыскано 42 035 руб. 73 коп. задолженности, 16 663 руб. 27 коп. неустойки, 214 399 руб. 53 коп. процентов за пользование коммерческим кредитом, 30 000 руб. расходов на оплату услуг представителя, в удовлетворении остальной части требований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Обращаясь в арбитражный суд с иском по настоящему делу, компания сослалась на ненадлежащее исполнение обществом (покупатель) обязательств по договору от 26.04.2019 № 84, право требования по которому перешло истцу на основании договора от 16.10.2019 об уступке права требования, заключенного с обществом с ограниченной ответственностью «Поволжский металлоцентр 2015».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неисполнения обществом обязательств по оплате принятого товара в полном объеме, руководствуясь статьями 309, 310, 329, 330, 333, 424, 454, 486, 488, 516, 823 Гражданского кодекса Российской Федерации, разъяснениями, изложенными в постановлении Пленума Верховного Суда Российской Федерации от 24.03.2016 № 17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 наличии оснований для частичного удовлетворения исковых требований (с учетом снижения размера неустойки). Признав подтвержденным факт несения компанией судебных расходов, руководствуясь статьей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учитывая объем выполненной представителем работы, отсутствие доказательств чрезмерности понесенных расходов, суды сочли заявленную компанией сумму расходов разумной и обоснованной. Суд округа согласился с выводами судов первой и апелляционной инстанций. Доводы кассационной жалобы аналогичны доводам, заявлявшимся ранее в судах и получившим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«Милен»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