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«Российские железные дороги» обратилось в Арбитражный суд Кемеровской области с иском о взыскании с акционерного общества «Угольная компания «Кузбассразрезуголь» 325 975 рублей неустойки за искажение в железнодорожной накладной сведений о массе груза, превышение массы груза сверх грузоподъемности вагона. Решением Арбитражного суда Кемеровской области от 13.07.2020 иск удовлетворен в части взыскания 162 987 рублей 50 копеек; в удовлетворении иска в остальной части отказано. Постановлением Седьмого арбитражного апелляционного суда от 21.09.2020 решение суда первой инстанции оставлено без изменения. Арбитражный суд Западно-Сибирского округа постановлением от 15.01.2021 указанные судебные акты оставил без изменения. Акционерное общество «Угольная компания «Кузбассразрезуголь» обратилось в Судебную коллегию Верховного Суда Российской Федерации с 2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излишек массы груза превышает значение допустимой погрешности расхождения массы груза, определенной грузоотправителем и перевозчиком, признав доказанным факт превышения фактической массы груза над грузоподъемностью вагона, руководствуясь параграфами 1, 3 статьи 16, параграфом 5 статьи 19, параграфом 1 статьи 23 Соглашения о международном железнодорожном грузовом сообщении, Правилами перевозок грузов (приложение № 1 к Соглашению о международном железнодорожном грузовом сообщении), положениями статей 2, 7, 784, 785, 793 Гражданского кодекса Российской Федерации, статей 25, 26, 41 Федерального закона от 10.01.2003 № 18-ФЗ «Устав железнодорожного транспорта Российской Федерации», Рекомендациями МИ 3115-2008 «Масса грузов, перевозимых железнодорожным транспортом. Измерения и учет массы груза при взаиморасчетах между грузоотправителем и грузополучателем», утвержденными Федеральным государственным унитарным предприятием «ВНИИМС» Ростехрегулирования 20.05.2008, суды пришли к выводу о наличии оснований для применения к ответчику меры ответственности в виде штрафа в пятикратном размере провозной платы, применив положения статьи 333 Гражданского кодекса Российской Федерации. Довод жалобы о необходимости применения при расчете массы груза методики, изложенной в пункте 8.2.4 Рекомендаций МИ 3115-2008, приводился при рассмотрении дела, был рассмотрен судами и мотивированно отклонен. По существу доводы жалобы направлены на переоценку доказательств по делу и установленных фактических обстоятельств, что не входит в полномочия суда 3 при кассационном производстве. Эти доводы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«Угольная компания «Кузбассразрезуголь»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